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widowControl w:val="0"/>
        <w:spacing w:line="360" w:lineRule="auto"/>
        <w:contextualSpacing w:val="0"/>
        <w:jc w:val="center"/>
      </w:pPr>
      <w:r w:rsidDel="00000000" w:rsidR="00000000" w:rsidRPr="00000000">
        <w:rPr>
          <w:rtl w:val="0"/>
        </w:rPr>
      </w:r>
    </w:p>
    <w:p w:rsidR="00000000" w:rsidDel="00000000" w:rsidP="00000000" w:rsidRDefault="00000000" w:rsidRPr="00000000">
      <w:pPr>
        <w:keepNext w:val="1"/>
        <w:widowControl w:val="0"/>
        <w:spacing w:after="0" w:before="0" w:line="360" w:lineRule="auto"/>
        <w:contextualSpacing w:val="0"/>
        <w:jc w:val="center"/>
      </w:pPr>
      <w:r w:rsidDel="00000000" w:rsidR="00000000" w:rsidRPr="00000000">
        <w:rPr>
          <w:rFonts w:ascii="Garamond" w:cs="Garamond" w:eastAsia="Garamond" w:hAnsi="Garamond"/>
          <w:b w:val="0"/>
          <w:smallCaps w:val="1"/>
          <w:color w:val="000000"/>
          <w:sz w:val="28"/>
          <w:szCs w:val="28"/>
          <w:rtl w:val="0"/>
        </w:rPr>
        <w:t xml:space="preserve">Board of Director Meeting </w:t>
      </w:r>
      <w:r w:rsidDel="00000000" w:rsidR="00000000" w:rsidRPr="00000000">
        <w:rPr>
          <w:rtl w:val="0"/>
        </w:rPr>
      </w:r>
    </w:p>
    <w:p w:rsidR="00000000" w:rsidDel="00000000" w:rsidP="00000000" w:rsidRDefault="00000000" w:rsidRPr="00000000">
      <w:pPr>
        <w:keepNext w:val="1"/>
        <w:widowControl w:val="0"/>
        <w:spacing w:after="0" w:before="0" w:line="360" w:lineRule="auto"/>
        <w:contextualSpacing w:val="0"/>
        <w:jc w:val="center"/>
      </w:pPr>
      <w:r w:rsidDel="00000000" w:rsidR="00000000" w:rsidRPr="00000000">
        <w:rPr>
          <w:rFonts w:ascii="Garamond" w:cs="Garamond" w:eastAsia="Garamond" w:hAnsi="Garamond"/>
          <w:b w:val="0"/>
          <w:smallCaps w:val="1"/>
          <w:color w:val="000000"/>
          <w:sz w:val="28"/>
          <w:szCs w:val="28"/>
          <w:rtl w:val="0"/>
        </w:rPr>
        <w:t xml:space="preserve">SAPCC Office </w:t>
      </w:r>
      <w:r w:rsidDel="00000000" w:rsidR="00000000" w:rsidRPr="00000000">
        <w:rPr>
          <w:rtl w:val="0"/>
        </w:rPr>
      </w:r>
    </w:p>
    <w:p w:rsidR="00000000" w:rsidDel="00000000" w:rsidP="00000000" w:rsidRDefault="00000000" w:rsidRPr="00000000">
      <w:pPr>
        <w:keepNext w:val="1"/>
        <w:widowControl w:val="0"/>
        <w:spacing w:after="0" w:before="0" w:line="360" w:lineRule="auto"/>
        <w:contextualSpacing w:val="0"/>
        <w:jc w:val="center"/>
      </w:pPr>
      <w:r w:rsidDel="00000000" w:rsidR="00000000" w:rsidRPr="00000000">
        <w:rPr>
          <w:rFonts w:ascii="Garamond" w:cs="Garamond" w:eastAsia="Garamond" w:hAnsi="Garamond"/>
          <w:b w:val="0"/>
          <w:smallCaps w:val="1"/>
          <w:color w:val="000000"/>
          <w:sz w:val="28"/>
          <w:szCs w:val="28"/>
          <w:rtl w:val="0"/>
        </w:rPr>
        <w:t xml:space="preserve">890 Cromwell Ave | St. Paul, Minnesota</w:t>
      </w:r>
      <w:r w:rsidDel="00000000" w:rsidR="00000000" w:rsidRPr="00000000">
        <w:rPr>
          <w:rtl w:val="0"/>
        </w:rPr>
      </w:r>
    </w:p>
    <w:p w:rsidR="00000000" w:rsidDel="00000000" w:rsidP="00000000" w:rsidRDefault="00000000" w:rsidRPr="00000000">
      <w:pPr>
        <w:keepNext w:val="1"/>
        <w:widowControl w:val="0"/>
        <w:spacing w:after="0" w:before="0" w:line="360" w:lineRule="auto"/>
        <w:contextualSpacing w:val="0"/>
        <w:jc w:val="center"/>
      </w:pPr>
      <w:r w:rsidDel="00000000" w:rsidR="00000000" w:rsidRPr="00000000">
        <w:rPr>
          <w:rFonts w:ascii="Garamond" w:cs="Garamond" w:eastAsia="Garamond" w:hAnsi="Garamond"/>
          <w:b w:val="0"/>
          <w:smallCaps w:val="1"/>
          <w:color w:val="000000"/>
          <w:sz w:val="28"/>
          <w:szCs w:val="28"/>
          <w:rtl w:val="0"/>
        </w:rPr>
        <w:t xml:space="preserve">Thursday, May 14, 2015 7PM -9PM</w:t>
      </w:r>
    </w:p>
    <w:p w:rsidR="00000000" w:rsidDel="00000000" w:rsidP="00000000" w:rsidRDefault="00000000" w:rsidRPr="00000000">
      <w:pPr>
        <w:keepNext w:val="1"/>
        <w:widowControl w:val="0"/>
        <w:spacing w:after="0" w:before="0" w:line="360" w:lineRule="auto"/>
        <w:contextualSpacing w:val="0"/>
        <w:jc w:val="center"/>
      </w:pPr>
      <w:r w:rsidDel="00000000" w:rsidR="00000000" w:rsidRPr="00000000">
        <w:rPr>
          <w:rFonts w:ascii="Garamond" w:cs="Garamond" w:eastAsia="Garamond" w:hAnsi="Garamond"/>
          <w:b w:val="0"/>
          <w:color w:val="000000"/>
          <w:sz w:val="22"/>
          <w:szCs w:val="22"/>
          <w:rtl w:val="0"/>
        </w:rPr>
        <w:t xml:space="preserve">South Saint Anthony Rec Center (SAPCC office)</w:t>
      </w:r>
    </w:p>
    <w:p w:rsidR="00000000" w:rsidDel="00000000" w:rsidP="00000000" w:rsidRDefault="00000000" w:rsidRPr="00000000">
      <w:pPr>
        <w:keepNext w:val="1"/>
        <w:widowControl w:val="0"/>
        <w:spacing w:after="0" w:before="0" w:line="360" w:lineRule="auto"/>
        <w:contextualSpacing w:val="0"/>
        <w:jc w:val="center"/>
      </w:pPr>
      <w:r w:rsidDel="00000000" w:rsidR="00000000" w:rsidRPr="00000000">
        <w:rPr>
          <w:rFonts w:ascii="Calibri" w:cs="Calibri" w:eastAsia="Calibri" w:hAnsi="Calibri"/>
          <w:b w:val="0"/>
          <w:color w:val="000000"/>
          <w:sz w:val="26"/>
          <w:szCs w:val="26"/>
          <w:rtl w:val="0"/>
        </w:rPr>
        <w:t xml:space="preserve"> Chair: Matt Hass</w:t>
      </w:r>
    </w:p>
    <w:p w:rsidR="00000000" w:rsidDel="00000000" w:rsidP="00000000" w:rsidRDefault="00000000" w:rsidRPr="00000000">
      <w:pPr>
        <w:tabs>
          <w:tab w:val="center" w:pos="4680"/>
          <w:tab w:val="left" w:pos="6435"/>
        </w:tabs>
        <w:spacing w:line="240" w:lineRule="auto"/>
        <w:contextualSpacing w:val="0"/>
      </w:pPr>
      <w:r w:rsidDel="00000000" w:rsidR="00000000" w:rsidRPr="00000000">
        <w:rPr>
          <w:rFonts w:ascii="Calibri" w:cs="Calibri" w:eastAsia="Calibri" w:hAnsi="Calibri"/>
          <w:sz w:val="26"/>
          <w:szCs w:val="26"/>
          <w:rtl w:val="0"/>
        </w:rPr>
        <w:t xml:space="preserve">Chair: Matt Hass</w:t>
      </w:r>
    </w:p>
    <w:p w:rsidR="00000000" w:rsidDel="00000000" w:rsidP="00000000" w:rsidRDefault="00000000" w:rsidRPr="00000000">
      <w:pPr>
        <w:tabs>
          <w:tab w:val="center" w:pos="4680"/>
          <w:tab w:val="left" w:pos="6435"/>
        </w:tabs>
        <w:spacing w:line="240" w:lineRule="auto"/>
        <w:contextualSpacing w:val="0"/>
      </w:pPr>
      <w:r w:rsidDel="00000000" w:rsidR="00000000" w:rsidRPr="00000000">
        <w:rPr>
          <w:rFonts w:ascii="Calibri" w:cs="Calibri" w:eastAsia="Calibri" w:hAnsi="Calibri"/>
          <w:sz w:val="26"/>
          <w:szCs w:val="26"/>
          <w:rtl w:val="0"/>
        </w:rPr>
        <w:t xml:space="preserve">In attendance: Alex Susko, JoAnne Makela, Kathryn Murray, Seth Levin, Linda Hodge, Ray Bryan, Wanjiru Mugo</w:t>
      </w:r>
    </w:p>
    <w:p w:rsidR="00000000" w:rsidDel="00000000" w:rsidP="00000000" w:rsidRDefault="00000000" w:rsidRPr="00000000">
      <w:pPr>
        <w:tabs>
          <w:tab w:val="center" w:pos="4680"/>
          <w:tab w:val="left" w:pos="6435"/>
        </w:tabs>
        <w:spacing w:line="240" w:lineRule="auto"/>
        <w:contextualSpacing w:val="0"/>
      </w:pPr>
      <w:r w:rsidDel="00000000" w:rsidR="00000000" w:rsidRPr="00000000">
        <w:rPr>
          <w:rFonts w:ascii="Calibri" w:cs="Calibri" w:eastAsia="Calibri" w:hAnsi="Calibri"/>
          <w:sz w:val="26"/>
          <w:szCs w:val="26"/>
          <w:rtl w:val="0"/>
        </w:rPr>
        <w:t xml:space="preserve">Guest: Betty Wheeler</w:t>
      </w:r>
    </w:p>
    <w:p w:rsidR="00000000" w:rsidDel="00000000" w:rsidP="00000000" w:rsidRDefault="00000000" w:rsidRPr="00000000">
      <w:pPr>
        <w:tabs>
          <w:tab w:val="center" w:pos="4680"/>
          <w:tab w:val="left" w:pos="6435"/>
        </w:tabs>
        <w:spacing w:line="240" w:lineRule="auto"/>
        <w:contextualSpacing w:val="0"/>
      </w:pPr>
      <w:r w:rsidDel="00000000" w:rsidR="00000000" w:rsidRPr="00000000">
        <w:rPr>
          <w:rFonts w:ascii="Calibri" w:cs="Calibri" w:eastAsia="Calibri" w:hAnsi="Calibri"/>
          <w:sz w:val="26"/>
          <w:szCs w:val="26"/>
          <w:rtl w:val="0"/>
        </w:rPr>
        <w:t xml:space="preserve">Staff: Cailin Rogers</w:t>
      </w:r>
    </w:p>
    <w:p w:rsidR="00000000" w:rsidDel="00000000" w:rsidP="00000000" w:rsidRDefault="00000000" w:rsidRPr="00000000">
      <w:pPr>
        <w:tabs>
          <w:tab w:val="center" w:pos="4680"/>
          <w:tab w:val="left" w:pos="6435"/>
        </w:tabs>
        <w:spacing w:line="240" w:lineRule="auto"/>
        <w:contextualSpacing w:val="0"/>
      </w:pPr>
      <w:r w:rsidDel="00000000" w:rsidR="00000000" w:rsidRPr="00000000">
        <w:rPr>
          <w:rtl w:val="0"/>
        </w:rPr>
      </w:r>
    </w:p>
    <w:tbl>
      <w:tblPr>
        <w:tblStyle w:val="Table1"/>
        <w:bidi w:val="0"/>
        <w:tblW w:w="9975.0" w:type="dxa"/>
        <w:jc w:val="left"/>
        <w:tblInd w:w="-108.0" w:type="dxa"/>
        <w:tblLayout w:type="fixed"/>
        <w:tblLook w:val="0400"/>
      </w:tblPr>
      <w:tblGrid>
        <w:gridCol w:w="5685"/>
        <w:gridCol w:w="4290"/>
        <w:tblGridChange w:id="0">
          <w:tblGrid>
            <w:gridCol w:w="5685"/>
            <w:gridCol w:w="4290"/>
          </w:tblGrid>
        </w:tblGridChange>
      </w:tblGrid>
      <w:tr>
        <w:trPr>
          <w:trHeight w:val="44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222222"/>
                <w:sz w:val="22"/>
                <w:szCs w:val="22"/>
                <w:rtl w:val="0"/>
              </w:rPr>
              <w:t xml:space="preserve">Introductions</w:t>
            </w: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tl w:val="0"/>
              </w:rPr>
            </w:r>
          </w:p>
        </w:tc>
      </w:tr>
      <w:tr>
        <w:trPr>
          <w:trHeight w:val="168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2"/>
                <w:szCs w:val="22"/>
                <w:rtl w:val="0"/>
              </w:rPr>
              <w:t xml:space="preserve">Consent agenda:</w:t>
            </w:r>
          </w:p>
          <w:p w:rsidR="00000000" w:rsidDel="00000000" w:rsidP="00000000" w:rsidRDefault="00000000" w:rsidRPr="00000000">
            <w:pPr>
              <w:numPr>
                <w:ilvl w:val="0"/>
                <w:numId w:val="2"/>
              </w:numPr>
              <w:spacing w:after="0" w:before="0" w:line="276"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2"/>
                <w:szCs w:val="22"/>
                <w:rtl w:val="0"/>
              </w:rPr>
              <w:t xml:space="preserve">Approve agenda</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2"/>
                <w:szCs w:val="22"/>
                <w:rtl w:val="0"/>
              </w:rPr>
              <w:t xml:space="preserve">Approve minutes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color w:val="000000"/>
                <w:sz w:val="22"/>
                <w:szCs w:val="22"/>
                <w:rtl w:val="0"/>
              </w:rPr>
              <w:t xml:space="preserve">Resolutions passed: </w:t>
            </w:r>
          </w:p>
          <w:p w:rsidR="00000000" w:rsidDel="00000000" w:rsidP="00000000" w:rsidRDefault="00000000" w:rsidRPr="00000000">
            <w:pPr>
              <w:numPr>
                <w:ilvl w:val="0"/>
                <w:numId w:val="3"/>
              </w:numPr>
              <w:spacing w:after="160" w:before="0" w:line="259" w:lineRule="auto"/>
              <w:ind w:left="1080" w:hanging="360"/>
              <w:contextualSpacing w:val="1"/>
              <w:rPr>
                <w:b w:val="0"/>
                <w:color w:val="000000"/>
                <w:sz w:val="22"/>
                <w:szCs w:val="22"/>
              </w:rPr>
            </w:pPr>
            <w:r w:rsidDel="00000000" w:rsidR="00000000" w:rsidRPr="00000000">
              <w:rPr>
                <w:rFonts w:ascii="Calibri" w:cs="Calibri" w:eastAsia="Calibri" w:hAnsi="Calibri"/>
                <w:rtl w:val="0"/>
              </w:rPr>
              <w:t xml:space="preserve">Motion to adopt suggested personnel policy language with the additions discussed passed unanimously. Personnel Policy will be amended to clarify the following two sentences: “Any action taken by any board member or other constituent that threatens the safety or well-being of staff will be addressed and recorded by the Executive Committee upon notice from staff within 48 hours of notice in accordance with federal, state and local human resources best practices and in adherence to any applicable law. The SAPCC board does not tolerate harassment, verbal or physical abuse, or any other form of discrimination in any encounters with staff, board or community members.”</w:t>
            </w: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JoAnne moved to approve the consent agenda. Alex seconded and the approval was unanimous. </w:t>
            </w:r>
            <w:r w:rsidDel="00000000" w:rsidR="00000000" w:rsidRPr="00000000">
              <w:rPr>
                <w:rtl w:val="0"/>
              </w:rPr>
            </w:r>
          </w:p>
        </w:tc>
      </w:tr>
      <w:tr>
        <w:trPr>
          <w:trHeight w:val="32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Introduce Kathryn Murray as new board member </w:t>
            </w:r>
          </w:p>
          <w:p w:rsidR="00000000" w:rsidDel="00000000" w:rsidP="00000000" w:rsidRDefault="00000000" w:rsidRPr="00000000">
            <w:pPr>
              <w:spacing w:after="160" w:before="0" w:line="259" w:lineRule="auto"/>
              <w:contextualSpacing w:val="0"/>
            </w:pP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Kathryn Murray was introduced as the newest board member on the SAPCC board. She has her master’s degree from St. Mary’s University and works for Springboard for the Arts. She may join the Land Use Committee.  </w:t>
            </w:r>
            <w:r w:rsidDel="00000000" w:rsidR="00000000" w:rsidRPr="00000000">
              <w:rPr>
                <w:rtl w:val="0"/>
              </w:rPr>
            </w:r>
          </w:p>
        </w:tc>
      </w:tr>
      <w:tr>
        <w:trPr>
          <w:trHeight w:val="44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b w:val="0"/>
                <w:color w:val="000000"/>
                <w:sz w:val="22"/>
                <w:szCs w:val="22"/>
                <w:rtl w:val="0"/>
              </w:rPr>
              <w:t xml:space="preserve">Chair updates from committees CBA</w:t>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Seth, Ray, and Alex gave a Land Use update, particularly focusing on developer criteria that the Committee is considering.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JoAnne gave the group a CEZ update. University United is dissolving and offered the 501(c)3 status to CEZ but CEZ declined. Arise will take over the 501(c)3 and become “United Communities”.  CEZ has been in conversations with Prospect Park about development. CEZ passed a new set of bylaws for the organization. They have listening sessions coming up.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Ray gave a Transportation Committee update by sharing the updates on Raymond Avenue Phase II (will be underway this summer) and Phase III (planning will begin in a few months, construction in 2016).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Cailin gave the Environment Committee update which focused on Kasota Ponds clean up for 2015 and the involvement of community members and local students. </w:t>
            </w:r>
          </w:p>
        </w:tc>
      </w:tr>
      <w:tr>
        <w:trPr>
          <w:trHeight w:val="44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rtl w:val="0"/>
              </w:rPr>
              <w:t xml:space="preserve">Barbara Raye – Strategic planning next steps </w:t>
            </w: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Barbara Raye, consultant for strategic planning, gave an outline of the data thus far collected by SAPCC for strategic planning. 257 people took the survey online and 37 individual interviews happened. She asked the board to identify missing data. The board asked for more input from young people and people of color in survey respondents if possible. Barbara agreed to work with staff to do some more data collection from groups that weren’t as well represented in the survey. The board agreed to meet with Barbara for a 4 hour strategic planning retreat in June to dissect data analysis and create a plan. </w:t>
            </w:r>
            <w:r w:rsidDel="00000000" w:rsidR="00000000" w:rsidRPr="00000000">
              <w:rPr>
                <w:rtl w:val="0"/>
              </w:rPr>
            </w:r>
          </w:p>
        </w:tc>
      </w:tr>
      <w:tr>
        <w:trPr>
          <w:trHeight w:val="44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160" w:before="0" w:line="259" w:lineRule="auto"/>
              <w:contextualSpacing w:val="0"/>
            </w:pPr>
            <w:r w:rsidDel="00000000" w:rsidR="00000000" w:rsidRPr="00000000">
              <w:rPr>
                <w:rFonts w:ascii="Calibri" w:cs="Calibri" w:eastAsia="Calibri" w:hAnsi="Calibri"/>
                <w:rtl w:val="0"/>
              </w:rPr>
              <w:t xml:space="preserve">Personnel Committee </w:t>
            </w: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numPr>
                <w:ilvl w:val="0"/>
                <w:numId w:val="3"/>
              </w:numPr>
              <w:spacing w:after="160" w:line="259" w:lineRule="auto"/>
              <w:ind w:left="1080" w:hanging="360"/>
              <w:contextualSpacing w:val="1"/>
              <w:rPr/>
            </w:pPr>
            <w:r w:rsidDel="00000000" w:rsidR="00000000" w:rsidRPr="00000000">
              <w:rPr>
                <w:rFonts w:ascii="Calibri" w:cs="Calibri" w:eastAsia="Calibri" w:hAnsi="Calibri"/>
                <w:color w:val="222222"/>
                <w:rtl w:val="0"/>
              </w:rPr>
              <w:t xml:space="preserve">JoAnne and the rest of the Personnel Committee (Matt Hass, Seth Levin, and Ray Bryan) gave an update on personnel policies. Policies need to empower staff in difficult positions. The conversation centered around the new language in the policies presented. Matt moved to adopt suggested language with the additions discussed by the board. Alex seconded. The vote was unanimous. The discussed changes include the two following sentences: </w:t>
            </w:r>
            <w:r w:rsidDel="00000000" w:rsidR="00000000" w:rsidRPr="00000000">
              <w:rPr>
                <w:rFonts w:ascii="Calibri" w:cs="Calibri" w:eastAsia="Calibri" w:hAnsi="Calibri"/>
                <w:rtl w:val="0"/>
              </w:rPr>
              <w:t xml:space="preserve">“Any action taken by any board member or other constituent that threatens the safety or well-being of staff will be addressed and recorded by the Executive Committee upon notice from staff within 48 hours of notice in accordance with federal, state and local human resources best practices and in adherence to any applicable law. The SAPCC board does not tolerate harassment, verbal or physical abuse, or any other form of discrimination in any encounters with staff, board or community members.”</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 Seth reminded the group that a new Personnel Committee will be chosen in July. </w:t>
            </w:r>
            <w:r w:rsidDel="00000000" w:rsidR="00000000" w:rsidRPr="00000000">
              <w:rPr>
                <w:rtl w:val="0"/>
              </w:rPr>
            </w:r>
          </w:p>
        </w:tc>
      </w:tr>
      <w:tr>
        <w:trPr>
          <w:trHeight w:val="44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160" w:before="0" w:line="259" w:lineRule="auto"/>
              <w:ind w:left="72" w:firstLine="0"/>
              <w:contextualSpacing w:val="0"/>
              <w:jc w:val="both"/>
            </w:pPr>
            <w:r w:rsidDel="00000000" w:rsidR="00000000" w:rsidRPr="00000000">
              <w:rPr>
                <w:rFonts w:ascii="Calibri" w:cs="Calibri" w:eastAsia="Calibri" w:hAnsi="Calibri"/>
                <w:rtl w:val="0"/>
              </w:rPr>
              <w:t xml:space="preserve">Jan-Mar quarterly financial update JoAnne </w:t>
            </w: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JoAnne gave an update on quarterly finances which indicate that there are few changes from other months. There are holes in the budget but we are filling them. </w:t>
            </w:r>
            <w:r w:rsidDel="00000000" w:rsidR="00000000" w:rsidRPr="00000000">
              <w:rPr>
                <w:rtl w:val="0"/>
              </w:rPr>
            </w:r>
          </w:p>
        </w:tc>
      </w:tr>
      <w:tr>
        <w:trPr>
          <w:trHeight w:val="66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59" w:lineRule="auto"/>
              <w:contextualSpacing w:val="0"/>
              <w:jc w:val="both"/>
            </w:pPr>
            <w:r w:rsidDel="00000000" w:rsidR="00000000" w:rsidRPr="00000000">
              <w:rPr>
                <w:rFonts w:ascii="Calibri" w:cs="Calibri" w:eastAsia="Calibri" w:hAnsi="Calibri"/>
                <w:b w:val="0"/>
                <w:color w:val="000000"/>
                <w:sz w:val="22"/>
                <w:szCs w:val="22"/>
                <w:rtl w:val="0"/>
              </w:rPr>
              <w:t xml:space="preserve">Staff update: </w:t>
            </w:r>
          </w:p>
          <w:p w:rsidR="00000000" w:rsidDel="00000000" w:rsidP="00000000" w:rsidRDefault="00000000" w:rsidRPr="00000000">
            <w:pPr>
              <w:spacing w:after="0" w:before="0" w:line="259" w:lineRule="auto"/>
              <w:contextualSpacing w:val="0"/>
              <w:jc w:val="both"/>
            </w:pPr>
            <w:r w:rsidDel="00000000" w:rsidR="00000000" w:rsidRPr="00000000">
              <w:rPr>
                <w:rFonts w:ascii="Calibri" w:cs="Calibri" w:eastAsia="Calibri" w:hAnsi="Calibri"/>
                <w:b w:val="0"/>
                <w:color w:val="000000"/>
                <w:sz w:val="22"/>
                <w:szCs w:val="22"/>
                <w:rtl w:val="0"/>
              </w:rPr>
              <w:t xml:space="preserve">Grants updates</w:t>
            </w:r>
          </w:p>
          <w:p w:rsidR="00000000" w:rsidDel="00000000" w:rsidP="00000000" w:rsidRDefault="00000000" w:rsidRPr="00000000">
            <w:pPr>
              <w:numPr>
                <w:ilvl w:val="0"/>
                <w:numId w:val="1"/>
              </w:numPr>
              <w:spacing w:after="0" w:before="0" w:line="259"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Good Neighbor Fund/ Vikings Partnership Funded for $25,000 and $3257.00 will be going towards staff time.</w:t>
            </w:r>
          </w:p>
          <w:p w:rsidR="00000000" w:rsidDel="00000000" w:rsidP="00000000" w:rsidRDefault="00000000" w:rsidRPr="00000000">
            <w:pPr>
              <w:numPr>
                <w:ilvl w:val="0"/>
                <w:numId w:val="1"/>
              </w:numPr>
              <w:spacing w:after="0" w:before="0" w:line="259"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Saint Anthony Park Community Foundation $1000 General Operation</w:t>
            </w:r>
          </w:p>
          <w:p w:rsidR="00000000" w:rsidDel="00000000" w:rsidP="00000000" w:rsidRDefault="00000000" w:rsidRPr="00000000">
            <w:pPr>
              <w:numPr>
                <w:ilvl w:val="0"/>
                <w:numId w:val="1"/>
              </w:numPr>
              <w:spacing w:after="0" w:before="0" w:line="259"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Stronger bridges $1500 General Operation</w:t>
            </w:r>
          </w:p>
          <w:p w:rsidR="00000000" w:rsidDel="00000000" w:rsidP="00000000" w:rsidRDefault="00000000" w:rsidRPr="00000000">
            <w:pPr>
              <w:spacing w:after="160" w:before="0" w:line="259" w:lineRule="auto"/>
              <w:contextualSpacing w:val="0"/>
              <w:jc w:val="both"/>
            </w:pPr>
            <w:r w:rsidDel="00000000" w:rsidR="00000000" w:rsidRPr="00000000">
              <w:rPr>
                <w:rFonts w:ascii="Calibri" w:cs="Calibri" w:eastAsia="Calibri" w:hAnsi="Calibri"/>
                <w:b w:val="0"/>
                <w:color w:val="000000"/>
                <w:sz w:val="22"/>
                <w:szCs w:val="22"/>
                <w:rtl w:val="0"/>
              </w:rPr>
              <w:t xml:space="preserve">Rethinking our current committee structure - thoughts of bringing back (Community connects)</w:t>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SAPCC was awarded several thousand dollars in grants from different organizations.</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rtl w:val="0"/>
              </w:rPr>
              <w:t xml:space="preserve">The notion of exploring ways to address issues that don’t directly fall into the three committees we already have has been percolating recently. No action was taken. </w:t>
            </w:r>
          </w:p>
        </w:tc>
      </w:tr>
      <w:tr>
        <w:trPr>
          <w:trHeight w:val="26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222222"/>
                <w:sz w:val="22"/>
                <w:szCs w:val="22"/>
                <w:rtl w:val="0"/>
              </w:rPr>
              <w:t xml:space="preserve">Other Agenda Items</w:t>
            </w:r>
          </w:p>
        </w:tc>
        <w:tc>
          <w:tcPr>
            <w:tcBorders>
              <w:top w:color="000000" w:space="0" w:sz="0" w:val="nil"/>
              <w:left w:color="000000" w:space="0" w:sz="0" w:val="nil"/>
              <w:bottom w:color="000000" w:space="0" w:sz="0" w:val="nil"/>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sz w:val="24"/>
                <w:szCs w:val="24"/>
                <w:rtl w:val="0"/>
              </w:rPr>
              <w:t xml:space="preserve">No other items</w:t>
            </w:r>
            <w:r w:rsidDel="00000000" w:rsidR="00000000" w:rsidRPr="00000000">
              <w:rPr>
                <w:rtl w:val="0"/>
              </w:rPr>
            </w:r>
          </w:p>
        </w:tc>
      </w:tr>
      <w:tr>
        <w:trPr>
          <w:trHeight w:val="300" w:hRule="atLeast"/>
        </w:trPr>
        <w:tc>
          <w:tcPr>
            <w:tcBorders>
              <w:top w:color="000000" w:space="0" w:sz="8" w:val="dotted"/>
              <w:left w:color="000000" w:space="0" w:sz="0" w:val="nil"/>
              <w:bottom w:color="000000" w:space="0" w:sz="0" w:val="nil"/>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222222"/>
                <w:sz w:val="24"/>
                <w:szCs w:val="24"/>
                <w:rtl w:val="0"/>
              </w:rPr>
              <w:t xml:space="preserve">Adjourn</w:t>
            </w:r>
            <w:r w:rsidDel="00000000" w:rsidR="00000000" w:rsidRPr="00000000">
              <w:rPr>
                <w:rtl w:val="0"/>
              </w:rPr>
            </w:r>
          </w:p>
        </w:tc>
        <w:tc>
          <w:tcPr>
            <w:tcBorders>
              <w:top w:color="000000" w:space="0" w:sz="0" w:val="nil"/>
              <w:left w:color="000000" w:space="0" w:sz="0" w:val="nil"/>
              <w:bottom w:color="000000" w:space="0" w:sz="0" w:val="nil"/>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color w:val="222222"/>
                <w:sz w:val="24"/>
                <w:szCs w:val="24"/>
                <w:rtl w:val="0"/>
              </w:rPr>
              <w:t xml:space="preserve">Ray moved to adjourn.</w:t>
            </w:r>
            <w:r w:rsidDel="00000000" w:rsidR="00000000" w:rsidRPr="00000000">
              <w:rPr>
                <w:rtl w:val="0"/>
              </w:rPr>
            </w:r>
          </w:p>
        </w:tc>
      </w:tr>
      <w:tr>
        <w:trPr>
          <w:trHeight w:val="60" w:hRule="atLeast"/>
        </w:trPr>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240" w:line="240" w:lineRule="auto"/>
              <w:ind w:right="465"/>
              <w:contextualSpacing w:val="0"/>
            </w:pPr>
            <w:r w:rsidDel="00000000" w:rsidR="00000000" w:rsidRPr="00000000">
              <w:rPr>
                <w:rtl w:val="0"/>
              </w:rPr>
            </w:r>
          </w:p>
        </w:tc>
        <w:tc>
          <w:tcPr>
            <w:tcBorders>
              <w:top w:color="000000" w:space="0" w:sz="0" w:val="nil"/>
              <w:left w:color="000000" w:space="0" w:sz="0" w:val="nil"/>
              <w:bottom w:color="000000" w:space="0" w:sz="8" w:val="dotted"/>
              <w:right w:color="000000" w:space="0" w:sz="8" w:val="dotted"/>
            </w:tcBorders>
            <w:tcMar>
              <w:left w:w="108.0" w:type="dxa"/>
              <w:right w:w="108.0" w:type="dxa"/>
            </w:tcMar>
          </w:tcPr>
          <w:p w:rsidR="00000000" w:rsidDel="00000000" w:rsidP="00000000" w:rsidRDefault="00000000" w:rsidRPr="00000000">
            <w:pPr>
              <w:spacing w:after="0" w:before="0" w:line="276"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9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Garamond"/>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1350" w:firstLine="234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