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SAPCC Environment Committee minutes  </w:t>
      </w:r>
    </w:p>
    <w:p w:rsidR="00000000" w:rsidDel="00000000" w:rsidP="00000000" w:rsidRDefault="00000000" w:rsidRPr="00000000">
      <w:pPr>
        <w:contextualSpacing w:val="0"/>
        <w:jc w:val="center"/>
      </w:pPr>
      <w:r w:rsidDel="00000000" w:rsidR="00000000" w:rsidRPr="00000000">
        <w:rPr>
          <w:rtl w:val="0"/>
        </w:rPr>
        <w:t xml:space="preserve">April 22nd, 2015</w:t>
      </w:r>
    </w:p>
    <w:p w:rsidR="00000000" w:rsidDel="00000000" w:rsidP="00000000" w:rsidRDefault="00000000" w:rsidRPr="00000000">
      <w:pPr>
        <w:contextualSpacing w:val="0"/>
        <w:jc w:val="center"/>
      </w:pPr>
      <w:r w:rsidDel="00000000" w:rsidR="00000000" w:rsidRPr="00000000">
        <w:rPr>
          <w:rtl w:val="0"/>
        </w:rPr>
        <w:t xml:space="preserve">Steve Yetter, Matt Hass,</w:t>
      </w:r>
    </w:p>
    <w:p w:rsidR="00000000" w:rsidDel="00000000" w:rsidP="00000000" w:rsidRDefault="00000000" w:rsidRPr="00000000">
      <w:pPr>
        <w:contextualSpacing w:val="0"/>
        <w:jc w:val="center"/>
      </w:pPr>
      <w:r w:rsidDel="00000000" w:rsidR="00000000" w:rsidRPr="00000000">
        <w:rPr>
          <w:rtl w:val="0"/>
        </w:rPr>
        <w:t xml:space="preserve">Cailin Rogers, Claire Lingen-Mathews,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5670"/>
        <w:tblGridChange w:id="0">
          <w:tblGrid>
            <w:gridCol w:w="3690"/>
            <w:gridCol w:w="567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Introductions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Discussion of minutes. Long-term, we want to have a larger neighborhood conversation about rail links. Maybe this is a conversation for the annual meeting. Matt moved to approve the minutes, Steve seconded. Unanimous approval.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Kasota Ponds Planning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10am-1pm. Make sure to have hand washing and water drinking stations. Call the day beforehand to remind local restaurants donating food of pickup times. Bring all three folding tables. Leave North ponds for Avalon students on Monday. </w:t>
            </w:r>
          </w:p>
          <w:p w:rsidR="00000000" w:rsidDel="00000000" w:rsidP="00000000" w:rsidRDefault="00000000" w:rsidRPr="00000000">
            <w:pPr>
              <w:widowControl w:val="0"/>
              <w:spacing w:line="240" w:lineRule="auto"/>
              <w:contextualSpacing w:val="0"/>
            </w:pPr>
            <w:r w:rsidDel="00000000" w:rsidR="00000000" w:rsidRPr="00000000">
              <w:rPr>
                <w:rtl w:val="0"/>
              </w:rPr>
              <w:t xml:space="preserve">We need to ask Stephen about when to weed in the rain gardens.</w:t>
            </w:r>
          </w:p>
          <w:p w:rsidR="00000000" w:rsidDel="00000000" w:rsidP="00000000" w:rsidRDefault="00000000" w:rsidRPr="00000000">
            <w:pPr>
              <w:widowControl w:val="0"/>
              <w:spacing w:line="240" w:lineRule="auto"/>
              <w:contextualSpacing w:val="0"/>
            </w:pPr>
            <w:r w:rsidDel="00000000" w:rsidR="00000000" w:rsidRPr="00000000">
              <w:rPr>
                <w:rtl w:val="0"/>
              </w:rPr>
              <w:t xml:space="preserve">Bring strategic planning surveys to the clean up. </w:t>
            </w:r>
          </w:p>
          <w:p w:rsidR="00000000" w:rsidDel="00000000" w:rsidP="00000000" w:rsidRDefault="00000000" w:rsidRPr="00000000">
            <w:pPr>
              <w:widowControl w:val="0"/>
              <w:spacing w:line="240" w:lineRule="auto"/>
              <w:contextualSpacing w:val="0"/>
            </w:pPr>
            <w:r w:rsidDel="00000000" w:rsidR="00000000" w:rsidRPr="00000000">
              <w:rPr>
                <w:rtl w:val="0"/>
              </w:rPr>
              <w:t xml:space="preserve">Take lots of photos!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Amanda Yang--GIS intern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Amanda couldn’t make the meeting due to a family emergency so Cailin shared some about her project which sets out to map the environmental degradation and clean up in SAP.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Green Corps Grant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Cailin to do more research to see if Betty’s proposal can fit the Green Corps call for applications. Kasota Ponds could be a secondary application topic because it is an impaired body of water.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Adjourn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90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