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sz w:val="28"/>
          <w:szCs w:val="28"/>
          <w:rtl w:val="0"/>
        </w:rPr>
        <w:t xml:space="preserve">Transportation Committee minutes </w:t>
      </w: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sz w:val="28"/>
          <w:szCs w:val="28"/>
          <w:rtl w:val="0"/>
        </w:rPr>
        <w:t xml:space="preserve">St. Anthony Park Community Council</w:t>
      </w: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sz w:val="28"/>
          <w:szCs w:val="28"/>
          <w:rtl w:val="0"/>
        </w:rPr>
        <w:t xml:space="preserve">May 4th, 2015</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Chair: Brian Longley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In attendance: Brad Engelmann, Daniel Sarasti, Ray Bryan, Betty Wheeler, Les Everett</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Guests: Sandy Jacobs, Hilary Holmes, Al Czaia</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Staff: Cailin Rogers</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1"/>
        <w:bidi w:val="0"/>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150"/>
        <w:tblGridChange w:id="0">
          <w:tblGrid>
            <w:gridCol w:w="3210"/>
            <w:gridCol w:w="615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Introductions/Agenda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Minutes were approved unanimously.</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Sidewalk Infill Project – Al Czaia and Hilary Holmes, St. Paul City Planners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Al and Hilary from the City of St. Paul came to give a summary of their CIB sidewalk infill project. The CIB money would offset 50% of the assessment to landowners. They put in a request for Phase 2 of their project. Much of their work is in this neighborhood to increase connectivity. We can still do their work without CIB money, but it would cost owners more. We can talk to Paul St. Martin at the City for information about lighting on those sidewalk areas. </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SAP Arts Festival – Como Ave. Reconstruction table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We can make a map to help gather community input. We should use this opportunity to publicize our walk of Como in June. Cailin to email the Bugle to let them know about the upcoming walk. The Como walk will probably go from Raymond to Speedy’s (especially if they have ice cream people can buy there!). Brian to ask the City for a map of Como. We will need volunteers to oversee the table. We can get the project write-up from Elizabeth at the City who is staffing the project. </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Raymond Ave. public meeting May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Brief discussion on the City Council meeting happening on May 6th. No participation needed from Council.</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Updates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Cailin shared about the new intern, Amanda, who has a Master’s degree in Urban Planning and GIS. She will be working with the Council for several hours every week to map environmental issues in the neighborhood.</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Adjourn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Betty moved to adjourn</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